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before="0" w:lineRule="auto" w:line="24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AĞRI İBRAHİM ÇEÇEN ÜNİVERSİTESİ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cs="Times New Roman" w:hAnsi="Times New Roman"/>
          <w:b/>
          <w:sz w:val="24"/>
          <w:szCs w:val="24"/>
          <w:lang w:val="en-US"/>
        </w:rPr>
        <w:t>PATNOS MESLEK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YÜKSEKOKULU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İŞ YERİ KABUL VE STAJ SÖZLEŞMESİ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Madde 1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 sözleşme</w:t>
      </w:r>
      <w:r>
        <w:rPr>
          <w:rFonts w:ascii="Times New Roman" w:cs="Times New Roman" w:hAnsi="Times New Roman"/>
          <w:sz w:val="24"/>
          <w:szCs w:val="24"/>
        </w:rPr>
        <w:t>*,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3308 sayılı Mesle</w:t>
      </w:r>
      <w:r>
        <w:rPr>
          <w:rFonts w:ascii="Times New Roman" w:cs="Times New Roman" w:hAnsi="Times New Roman"/>
          <w:sz w:val="24"/>
          <w:szCs w:val="24"/>
        </w:rPr>
        <w:t>ki Eğitim Kanununa uygun olarak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mesleki</w:t>
      </w:r>
      <w:r>
        <w:rPr>
          <w:rFonts w:ascii="Times New Roman" w:cs="Times New Roman" w:hAnsi="Times New Roman"/>
          <w:sz w:val="24"/>
          <w:szCs w:val="24"/>
        </w:rPr>
        <w:t xml:space="preserve"> ve teknik eğitim yapan program öğrencilerinin </w:t>
      </w:r>
      <w:r>
        <w:rPr>
          <w:rFonts w:ascii="Times New Roman" w:cs="Times New Roman" w:hAnsi="Times New Roman"/>
          <w:sz w:val="24"/>
          <w:szCs w:val="24"/>
        </w:rPr>
        <w:t>işletmelerde yapılacak iş yeri stajının esaslarını düzenlemek amacıyla Yüksekokul Müd</w:t>
      </w:r>
      <w:r>
        <w:rPr>
          <w:rFonts w:ascii="Times New Roman" w:cs="Times New Roman" w:hAnsi="Times New Roman"/>
          <w:sz w:val="24"/>
          <w:szCs w:val="24"/>
        </w:rPr>
        <w:t>ürlüğü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işveren ve öğrenci arasında imzalanır.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2-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Üç nüsha olarak düzenlenen ve taraflarca imzalanan bu sözleşmenin bir nüshası Y</w:t>
      </w:r>
      <w:r>
        <w:rPr>
          <w:rFonts w:ascii="Times New Roman" w:cs="Times New Roman" w:hAnsi="Times New Roman"/>
          <w:sz w:val="24"/>
          <w:szCs w:val="24"/>
        </w:rPr>
        <w:t>üksekokul Müdürlüğünde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bir nüshası işletmede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bir nüshası da öğrencide </w:t>
      </w:r>
      <w:r>
        <w:rPr>
          <w:rFonts w:ascii="Times New Roman" w:cs="Times New Roman" w:hAnsi="Times New Roman"/>
          <w:sz w:val="24"/>
          <w:szCs w:val="24"/>
        </w:rPr>
        <w:t>bulunur.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3-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İşletmelerde iş yeri stajı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Ağrı İbrahim Çeçen Üniversitesi akademik takvimine ve ilgili birimin yaz stajı takvimine göre planlanır ve yapılır.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4-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Öğren</w:t>
      </w:r>
      <w:r>
        <w:rPr>
          <w:rFonts w:ascii="Times New Roman" w:cs="Times New Roman" w:hAnsi="Times New Roman"/>
          <w:sz w:val="24"/>
          <w:szCs w:val="24"/>
        </w:rPr>
        <w:t>cilerin iş yeri stajı sırasında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iş yeri kusurundan dolayı meydana gelebilecek iş kazaları ve meslek hastalıklarından işveren/işveren vekili sorumludur.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5-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İşletmelerde iş yeri stajı Ağrı İbrahim Çeçen Üniversit</w:t>
      </w:r>
      <w:r>
        <w:rPr>
          <w:rFonts w:ascii="Times New Roman" w:cs="Times New Roman" w:hAnsi="Times New Roman"/>
          <w:sz w:val="24"/>
          <w:szCs w:val="24"/>
        </w:rPr>
        <w:t>esi Öğrenci Staj Yönetmeliği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ilgili birimin Staj Yönergesi ve 3308 sayılı Mesleki Eğitim Kanunu hükümlerine göre yürütülür.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6-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Ağrı İbrahim Çeçen Üniversitesi akademik takvimine ve ilgili birimin yaz stajı takvimine girmek üzere taraflarca imzalanan bu sözleşme,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öğrencilerin iş yeri stajını tamamladığı tarihe kadar geçerlidir.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ÖĞRENCİNİN DİSİPLİN,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DEVAM VE BAŞARI DURUMU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7-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Öğrenciler yaz stajı için işletmelere devam etmek zorundadırlar.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İşletmelerde iş yeri stajına mazeretsiz olarak devam etmeyen öğrencilerin ücretleri kesilebilir.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 konuda işletmeler yetkilidir.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8-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İşletme yetkilileri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mazeretsiz olarak üç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iş günü iş </w:t>
      </w:r>
      <w:r>
        <w:rPr>
          <w:rFonts w:ascii="Times New Roman" w:cs="Times New Roman" w:hAnsi="Times New Roman"/>
          <w:sz w:val="24"/>
          <w:szCs w:val="24"/>
        </w:rPr>
        <w:t>yeri stajına gelmeyen öğrenciyi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 geç beş (5)</w:t>
      </w:r>
      <w:r>
        <w:rPr>
          <w:rFonts w:ascii="Times New Roman" w:cs="Times New Roman" w:hAnsi="Times New Roman"/>
          <w:sz w:val="24"/>
          <w:szCs w:val="24"/>
        </w:rPr>
        <w:t xml:space="preserve"> iş günü içinde Yükse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okul </w:t>
      </w:r>
      <w:r>
        <w:rPr>
          <w:rFonts w:ascii="Times New Roman" w:cs="Times New Roman" w:hAnsi="Times New Roman"/>
          <w:sz w:val="24"/>
          <w:szCs w:val="24"/>
        </w:rPr>
        <w:t>Müdürlüğüne bildiri</w:t>
      </w:r>
      <w:r>
        <w:rPr>
          <w:rFonts w:ascii="Times New Roman" w:cs="Times New Roman" w:hAnsi="Times New Roman"/>
          <w:sz w:val="24"/>
          <w:szCs w:val="24"/>
        </w:rPr>
        <w:t>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9-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Öğrencilerin işletmelerde disiplin soruşturmasını gerektirecek davranışlarda bulunmaları halinde,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 durum işletme tarafından Yüksekokul Müdürlüğüne yazılı olarak bildirilir.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Disip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in işlemi, Yüksekokul Müdürlüğü</w:t>
      </w:r>
      <w:r>
        <w:rPr>
          <w:rFonts w:ascii="Times New Roman" w:cs="Times New Roman" w:hAnsi="Times New Roman"/>
          <w:sz w:val="24"/>
          <w:szCs w:val="24"/>
        </w:rPr>
        <w:t xml:space="preserve"> tarafından Yükseköğretim Kurumları Öğrenci Disiplin Yönetmeliği hükümlerine göre yürütülür.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Sonuç, işletmeye yazılı olarak bildirilir.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10-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İşletmelerde iş yeri stajı yap</w:t>
      </w:r>
      <w:r>
        <w:rPr>
          <w:rFonts w:ascii="Times New Roman" w:cs="Times New Roman" w:hAnsi="Times New Roman"/>
          <w:sz w:val="24"/>
          <w:szCs w:val="24"/>
        </w:rPr>
        <w:t>an öğrencilerin başarı durumunu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Ağrı İbrahim Ç</w:t>
      </w:r>
      <w:r>
        <w:rPr>
          <w:rFonts w:ascii="Times New Roman" w:cs="Times New Roman" w:hAnsi="Times New Roman"/>
          <w:sz w:val="24"/>
          <w:szCs w:val="24"/>
        </w:rPr>
        <w:t xml:space="preserve">eçen Üniversitesi Öğrenci Staj </w:t>
      </w:r>
      <w:r>
        <w:rPr>
          <w:rFonts w:ascii="Times New Roman" w:cs="Times New Roman" w:hAnsi="Times New Roman"/>
          <w:sz w:val="24"/>
          <w:szCs w:val="24"/>
        </w:rPr>
        <w:t>Yönetmeliği ile ilgili birimin Staj Yönergesi hükümlerine göre b</w:t>
      </w:r>
      <w:r>
        <w:rPr>
          <w:rFonts w:ascii="Times New Roman" w:cs="Times New Roman" w:hAnsi="Times New Roman"/>
          <w:sz w:val="24"/>
          <w:szCs w:val="24"/>
        </w:rPr>
        <w:t>elirleni</w:t>
      </w:r>
      <w:r>
        <w:rPr>
          <w:rFonts w:ascii="Times New Roman" w:cs="Times New Roman" w:hAnsi="Times New Roman"/>
          <w:sz w:val="24"/>
          <w:szCs w:val="24"/>
        </w:rPr>
        <w:t>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ÜCRET,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SİGORTA VE DİĞER SOSYAL-MALİ UNSURLAR</w:t>
      </w:r>
    </w:p>
    <w:p>
      <w:pPr>
        <w:pStyle w:val="style2"/>
        <w:spacing w:before="0" w:lineRule="auto" w:line="240"/>
        <w:jc w:val="both"/>
        <w:rPr>
          <w:rFonts w:ascii="Times New Roman" w:cs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adde </w:t>
      </w:r>
      <w:r>
        <w:rPr>
          <w:rFonts w:ascii="Times New Roman" w:cs="Times New Roman" w:hAnsi="Times New Roman"/>
          <w:color w:val="000000"/>
          <w:sz w:val="24"/>
          <w:szCs w:val="24"/>
        </w:rPr>
        <w:t>11-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3308 sayılı Kanunun Geçici 12 inci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Maddesi gereğince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öğrencile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re aynı Kanunun 25 inci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maddesinin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birinci fıkras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ı kapsamında yapılacak ödemeler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asgari ücret net tutarının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yüzde otuzundan az olamaz. Mes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leki eğitim görülen işletmede;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yirmiden az personel çalışıyor ise ödenebi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lecek en az ücretin üçte ikisi, 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yirmi ve üzerinde personel çalışıyor ise ödenebilecek en az ücretin üçte biri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4477 sayılı Kanunun 53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üncü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Maddesinin üçüncü fıkrasının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(B)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bendinin bir alt bendi için ayrılan tutardan Devlet katkısı olarak ödenir.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Öğrencilere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sözleşme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gereği ödenmesi gereken ücretin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Devlet katkısına ilişkin kısmı İŞKUR tarafından Fon kaynaklarından,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kalan tutar ise işletme tarafından karşılanır.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İşletme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her ayın onuncu gününe kadar öğrencinin banka hesabına öder.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İşletmece ödenen devlet katkısı tutarı aynı ayın en geç yirmi beşinci gününe kadar işletmeye ödenir.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Öğrenciye ödenecek ücret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her türlü vergiden muaftır.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Asgari ücrette yıl içinde artış olması halinde, bu artışlar aynı oranda öğrencilerin ücretlerine yansıtılır.</w:t>
      </w:r>
    </w:p>
    <w:p>
      <w:pPr>
        <w:pStyle w:val="style0"/>
        <w:rPr/>
      </w:pPr>
    </w:p>
    <w:p>
      <w:pPr>
        <w:pStyle w:val="style0"/>
        <w:spacing w:after="0" w:lineRule="auto" w:line="240"/>
        <w:jc w:val="both"/>
        <w:rPr>
          <w:rFonts w:ascii="Times New Roman" w:cs="Times New Roman" w:eastAsia="宋体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宋体" w:hAnsi="Times New Roman"/>
          <w:bCs/>
          <w:color w:val="000000"/>
          <w:sz w:val="24"/>
          <w:szCs w:val="24"/>
        </w:rPr>
        <w:t xml:space="preserve">Paraflar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宋体" w:hAnsi="Times New Roman"/>
                <w:bCs/>
                <w:color w:val="000000"/>
                <w:sz w:val="24"/>
                <w:szCs w:val="24"/>
                <w:lang w:val="en-US"/>
              </w:rPr>
              <w:t>Patnos Myo Staj kom. Başkanı</w:t>
            </w:r>
          </w:p>
        </w:tc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  <w:t>İşveren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  <w:t>Öğrenci</w:t>
            </w:r>
          </w:p>
        </w:tc>
      </w:tr>
      <w:tr>
        <w:tblPrEx/>
        <w:trPr/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宋体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style32"/>
        <w:rPr/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  <w:sectPr>
          <w:pgSz w:w="11906" w:h="16838" w:orient="portrait"/>
          <w:pgMar w:top="1134" w:right="1134" w:bottom="1134" w:left="1134" w:header="708" w:footer="708" w:gutter="0"/>
          <w:cols w:space="708"/>
          <w:docGrid w:linePitch="360"/>
        </w:sect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Ancak,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kamu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kurum ve kuruluşlarında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staj yapan öğrencilere yapılacak sta</w:t>
      </w:r>
      <w:r>
        <w:rPr>
          <w:rFonts w:ascii="Times New Roman" w:cs="Times New Roman" w:hAnsi="Times New Roman"/>
          <w:sz w:val="24"/>
          <w:szCs w:val="24"/>
          <w:u w:val="single"/>
        </w:rPr>
        <w:t>j ücreti ödemeleri “3308 sayılı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mesleki eğitim kanununa göre işletmelerde mesleki eğitim gören öğrencilerin ücretlerinin bir kısmının işsizlik sigort</w:t>
      </w:r>
      <w:r>
        <w:rPr>
          <w:rFonts w:ascii="Times New Roman" w:cs="Times New Roman" w:hAnsi="Times New Roman"/>
          <w:sz w:val="24"/>
          <w:szCs w:val="24"/>
          <w:u w:val="single"/>
        </w:rPr>
        <w:t>a</w:t>
      </w:r>
      <w:r>
        <w:rPr>
          <w:rFonts w:ascii="Times New Roman" w:cs="Times New Roman" w:hAnsi="Times New Roman"/>
          <w:sz w:val="24"/>
          <w:szCs w:val="24"/>
          <w:u w:val="single"/>
        </w:rPr>
        <w:t>sı fonundan karşılanmasına ilişkin usul ve esaslar kapsamı dışındadır.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>Bu bağlamda staj ücreti ödemesini yapan kamu kurum ve kuruluşları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üniversitemizden herhangi bir hak talebinde bulun</w:t>
      </w:r>
      <w:r>
        <w:rPr>
          <w:rFonts w:ascii="Times New Roman" w:cs="Times New Roman" w:hAnsi="Times New Roman"/>
          <w:sz w:val="24"/>
          <w:szCs w:val="24"/>
          <w:u w:val="single"/>
        </w:rPr>
        <w:t>a</w:t>
      </w:r>
      <w:r>
        <w:rPr>
          <w:rFonts w:ascii="Times New Roman" w:cs="Times New Roman" w:hAnsi="Times New Roman"/>
          <w:sz w:val="24"/>
          <w:szCs w:val="24"/>
          <w:u w:val="single"/>
        </w:rPr>
        <w:t>mayac</w:t>
      </w:r>
      <w:r>
        <w:rPr>
          <w:rFonts w:ascii="Times New Roman" w:cs="Times New Roman" w:hAnsi="Times New Roman"/>
          <w:sz w:val="24"/>
          <w:szCs w:val="24"/>
          <w:u w:val="single"/>
        </w:rPr>
        <w:t>a</w:t>
      </w:r>
      <w:r>
        <w:rPr>
          <w:rFonts w:ascii="Times New Roman" w:cs="Times New Roman" w:hAnsi="Times New Roman"/>
          <w:sz w:val="24"/>
          <w:szCs w:val="24"/>
          <w:u w:val="single"/>
        </w:rPr>
        <w:t>ktır.</w:t>
      </w:r>
      <w:bookmarkStart w:id="0" w:name="_GoBack"/>
      <w:bookmarkEnd w:id="0"/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 xml:space="preserve">adde </w:t>
      </w:r>
      <w:r>
        <w:rPr>
          <w:rFonts w:ascii="Times New Roman" w:cs="Times New Roman" w:hAnsi="Times New Roman"/>
          <w:b/>
          <w:sz w:val="24"/>
          <w:szCs w:val="24"/>
        </w:rPr>
        <w:t>12-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Öğrenciler, bu sözleşmenin akdedilmesiyle işletmelerde iş yeri stajına devam ettikleri sürece 5510 sayılı Sosyal Sigorta Kanunun 4</w:t>
      </w:r>
      <w:r>
        <w:rPr>
          <w:rFonts w:ascii="Times New Roman" w:cs="Times New Roman" w:hAnsi="Times New Roman"/>
          <w:sz w:val="24"/>
          <w:szCs w:val="24"/>
        </w:rPr>
        <w:t xml:space="preserve"> üncü</w:t>
      </w:r>
      <w:r>
        <w:rPr>
          <w:rFonts w:ascii="Times New Roman" w:cs="Times New Roman" w:hAnsi="Times New Roman"/>
          <w:sz w:val="24"/>
          <w:szCs w:val="24"/>
        </w:rPr>
        <w:t xml:space="preserve"> Maddesinin birinci fıkrasının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(a)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bendine göre iş kazası ve meslek hast</w:t>
      </w:r>
      <w:r>
        <w:rPr>
          <w:rFonts w:ascii="Times New Roman" w:cs="Times New Roman" w:hAnsi="Times New Roman"/>
          <w:sz w:val="24"/>
          <w:szCs w:val="24"/>
        </w:rPr>
        <w:t>alığı sigortası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Yüksekokul Müdürlüğünce yaptırılır.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13-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Yüksekokul </w:t>
      </w:r>
      <w:r>
        <w:rPr>
          <w:rFonts w:ascii="Times New Roman" w:cs="Times New Roman" w:hAnsi="Times New Roman"/>
          <w:sz w:val="24"/>
          <w:szCs w:val="24"/>
        </w:rPr>
        <w:t xml:space="preserve">Müdürlüğünce </w:t>
      </w:r>
      <w:r>
        <w:rPr>
          <w:rFonts w:ascii="Times New Roman" w:cs="Times New Roman" w:hAnsi="Times New Roman"/>
          <w:sz w:val="24"/>
          <w:szCs w:val="24"/>
        </w:rPr>
        <w:t>öd</w:t>
      </w:r>
      <w:r>
        <w:rPr>
          <w:rFonts w:ascii="Times New Roman" w:cs="Times New Roman" w:hAnsi="Times New Roman"/>
          <w:sz w:val="24"/>
          <w:szCs w:val="24"/>
        </w:rPr>
        <w:t>enmesi gereken sigorta primleri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Sosyal Güvenlik Kurumunun belirlediği oranlara göre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Sosyal Güvenlik Kurumuna ödenir veya bu kurumun hesabına aktarılır.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adde</w:t>
      </w:r>
      <w:r>
        <w:rPr>
          <w:rFonts w:ascii="Times New Roman" w:cs="Times New Roman" w:hAnsi="Times New Roman"/>
          <w:b/>
          <w:sz w:val="24"/>
          <w:szCs w:val="24"/>
        </w:rPr>
        <w:t xml:space="preserve"> 14-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Sigorta veya prim ödemeyle ilgili belgeler,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Yüksekokul Müdürlüğü Müdürlüğünce saklanır.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lang w:val="en-US"/>
              </w:rPr>
              <w:t xml:space="preserve">Patnos Meslek </w:t>
            </w:r>
            <w:r>
              <w:rPr>
                <w:rFonts w:ascii="Times New Roman" w:cs="Times New Roman" w:hAnsi="Times New Roman"/>
                <w:sz w:val="24"/>
              </w:rPr>
              <w:t>Yüksekokulu</w:t>
            </w:r>
          </w:p>
        </w:tc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Kurum </w:t>
            </w:r>
            <w:r>
              <w:rPr>
                <w:rFonts w:ascii="Times New Roman" w:cs="Times New Roman" w:hAnsi="Times New Roman"/>
                <w:sz w:val="24"/>
              </w:rPr>
              <w:t>Adı</w:t>
            </w:r>
            <w:r>
              <w:rPr>
                <w:rFonts w:ascii="Times New Roman" w:cs="Times New Roman" w:hAnsi="Times New Roman"/>
                <w:sz w:val="24"/>
              </w:rPr>
              <w:t>: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</w:rPr>
              <w:t>Öğrencinin</w:t>
            </w:r>
          </w:p>
        </w:tc>
      </w:tr>
      <w:tr>
        <w:tblPrEx/>
        <w:trPr/>
        <w:tc>
          <w:tcPr>
            <w:tcW w:w="3259" w:type="dxa"/>
            <w:vMerge w:val="restart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cs="Times New Roman" w:hAnsi="Times New Roman"/>
                <w:sz w:val="24"/>
                <w:lang w:val="en-US"/>
              </w:rPr>
              <w:t>Staj Komisyon Başkanının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Adı Soyadı</w:t>
            </w:r>
            <w:r>
              <w:rPr>
                <w:rFonts w:ascii="Times New Roman" w:cs="Times New Roman" w:hAnsi="Times New Roman"/>
                <w:sz w:val="24"/>
              </w:rPr>
              <w:t>: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İşveren veya Vekilinin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 xml:space="preserve">Adı </w:t>
            </w:r>
            <w:r>
              <w:rPr>
                <w:rFonts w:ascii="Times New Roman" w:cs="Times New Roman" w:hAnsi="Times New Roman"/>
                <w:sz w:val="24"/>
              </w:rPr>
              <w:t>Soyadı :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Adı </w:t>
            </w:r>
            <w:r>
              <w:rPr>
                <w:rFonts w:ascii="Times New Roman" w:cs="Times New Roman" w:hAnsi="Times New Roman"/>
                <w:sz w:val="24"/>
              </w:rPr>
              <w:t>Soyadı :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3259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Görevi :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Tarih : </w:t>
            </w:r>
            <w:r>
              <w:rPr>
                <w:rFonts w:ascii="Times New Roman" w:cs="Times New Roman" w:hAnsi="Times New Roman"/>
                <w:sz w:val="24"/>
              </w:rPr>
              <w:t>….</w:t>
            </w:r>
            <w:r>
              <w:rPr>
                <w:rFonts w:ascii="Times New Roman" w:cs="Times New Roman" w:hAnsi="Times New Roman"/>
                <w:sz w:val="24"/>
              </w:rPr>
              <w:t xml:space="preserve"> / </w:t>
            </w:r>
            <w:r>
              <w:rPr>
                <w:rFonts w:ascii="Times New Roman" w:cs="Times New Roman" w:hAnsi="Times New Roman"/>
                <w:sz w:val="24"/>
              </w:rPr>
              <w:t>….</w:t>
            </w:r>
            <w:r>
              <w:rPr>
                <w:rFonts w:ascii="Times New Roman" w:cs="Times New Roman" w:hAnsi="Times New Roman"/>
                <w:sz w:val="24"/>
              </w:rPr>
              <w:t xml:space="preserve"> / </w:t>
            </w:r>
            <w:r>
              <w:rPr>
                <w:rFonts w:ascii="Times New Roman" w:cs="Times New Roman" w:hAnsi="Times New Roman"/>
                <w:sz w:val="24"/>
              </w:rPr>
              <w:t>….....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Tarih : </w:t>
            </w:r>
            <w:r>
              <w:rPr>
                <w:rFonts w:ascii="Times New Roman" w:cs="Times New Roman" w:hAnsi="Times New Roman"/>
                <w:sz w:val="24"/>
              </w:rPr>
              <w:t>….</w:t>
            </w:r>
            <w:r>
              <w:rPr>
                <w:rFonts w:ascii="Times New Roman" w:cs="Times New Roman" w:hAnsi="Times New Roman"/>
                <w:sz w:val="24"/>
              </w:rPr>
              <w:t xml:space="preserve"> / </w:t>
            </w:r>
            <w:r>
              <w:rPr>
                <w:rFonts w:ascii="Times New Roman" w:cs="Times New Roman" w:hAnsi="Times New Roman"/>
                <w:sz w:val="24"/>
              </w:rPr>
              <w:t>….</w:t>
            </w:r>
            <w:r>
              <w:rPr>
                <w:rFonts w:ascii="Times New Roman" w:cs="Times New Roman" w:hAnsi="Times New Roman"/>
                <w:sz w:val="24"/>
              </w:rPr>
              <w:t xml:space="preserve"> / </w:t>
            </w:r>
            <w:r>
              <w:rPr>
                <w:rFonts w:ascii="Times New Roman" w:cs="Times New Roman" w:hAnsi="Times New Roman"/>
                <w:sz w:val="24"/>
              </w:rPr>
              <w:t>….....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Tarih : </w:t>
            </w:r>
            <w:r>
              <w:rPr>
                <w:rFonts w:ascii="Times New Roman" w:cs="Times New Roman" w:hAnsi="Times New Roman"/>
                <w:sz w:val="24"/>
              </w:rPr>
              <w:t>….</w:t>
            </w:r>
            <w:r>
              <w:rPr>
                <w:rFonts w:ascii="Times New Roman" w:cs="Times New Roman" w:hAnsi="Times New Roman"/>
                <w:sz w:val="24"/>
              </w:rPr>
              <w:t>/ …./ …...</w:t>
            </w:r>
          </w:p>
        </w:tc>
      </w:tr>
      <w:tr>
        <w:tblPrEx/>
        <w:trPr/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İmza-Mühür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</w:rPr>
              <w:t>İmza-Mühür/Kaşe</w:t>
            </w:r>
          </w:p>
        </w:tc>
        <w:tc>
          <w:tcPr>
            <w:tcW w:w="32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</w:rPr>
              <w:t>İmza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Başlık 2 Char"/>
    <w:basedOn w:val="style65"/>
    <w:next w:val="style409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Üst Bilgi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9">
    <w:name w:val="Alt Bilgi Ch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07B1-176B-4CE1-9F13-7B508EC9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606</Words>
  <Pages>2</Pages>
  <Characters>3953</Characters>
  <Application>WPS Office</Application>
  <DocSecurity>0</DocSecurity>
  <Paragraphs>73</Paragraphs>
  <ScaleCrop>false</ScaleCrop>
  <LinksUpToDate>false</LinksUpToDate>
  <CharactersWithSpaces>4529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2023-05-05T14:02:42Z</dcterms:created>
  <dc:creator>dunya-pc</dc:creator>
  <lastModifiedBy>2201117TG</lastModifiedBy>
  <dcterms:modified xsi:type="dcterms:W3CDTF">2023-05-05T14:02:42Z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a83007ce034a4e9080fc9f1030b0cea9</vt:lpwstr>
  </property>
</Properties>
</file>